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0115" w14:textId="77777777" w:rsidR="00360079" w:rsidRPr="00360079" w:rsidRDefault="00360079" w:rsidP="00360079">
      <w:pPr>
        <w:shd w:val="clear" w:color="auto" w:fill="FFFFFF"/>
        <w:spacing w:after="360" w:line="240" w:lineRule="auto"/>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W ROKU SZKOLNYM 2024/2025</w:t>
      </w:r>
    </w:p>
    <w:p w14:paraId="47C54FBB"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Dyżury wakacyjne organizowane są zgodnie z ustalonym planem dla dzieci uczęszczających w roku szkolnym 2024/2025 do publicznych przedszkoli oraz oddziałów przedszkolnych przy szkołach podstawowych, prowadzonych przez Gminę Piaseczno, w których zaplanowano przerwę w funkcjonowaniu.</w:t>
      </w:r>
    </w:p>
    <w:p w14:paraId="0968786F" w14:textId="77777777" w:rsidR="00A164C2" w:rsidRPr="00360079" w:rsidRDefault="00A164C2" w:rsidP="00A164C2">
      <w:p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p>
    <w:p w14:paraId="77908F3F"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Rekrutacja na dyżury wakacyjne prowadzona będzie w systemie elektronicznym za pośrednictwem strony internetowej </w:t>
      </w:r>
      <w:hyperlink r:id="rId5" w:history="1">
        <w:r w:rsidRPr="00360079">
          <w:rPr>
            <w:rFonts w:ascii="Times New Roman" w:eastAsia="Times New Roman" w:hAnsi="Times New Roman" w:cs="Times New Roman"/>
            <w:color w:val="41BC3F"/>
            <w:kern w:val="0"/>
            <w:sz w:val="28"/>
            <w:szCs w:val="28"/>
            <w:u w:val="single"/>
            <w:lang w:eastAsia="pl-PL"/>
            <w14:ligatures w14:val="none"/>
          </w:rPr>
          <w:t>www.oswiata.piaseczno.eu</w:t>
        </w:r>
      </w:hyperlink>
      <w:r w:rsidRPr="00360079">
        <w:rPr>
          <w:rFonts w:ascii="Times New Roman" w:eastAsia="Times New Roman" w:hAnsi="Times New Roman" w:cs="Times New Roman"/>
          <w:color w:val="222222"/>
          <w:kern w:val="0"/>
          <w:sz w:val="28"/>
          <w:szCs w:val="28"/>
          <w:lang w:eastAsia="pl-PL"/>
          <w14:ligatures w14:val="none"/>
        </w:rPr>
        <w:t>, w zakładce Dyżury wakacyjne 2024/2025, zgodnie z harmonogramem rekrutacji ustalonym przez organ prowadzący.</w:t>
      </w:r>
    </w:p>
    <w:p w14:paraId="5D7C8735"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7FD46DAD"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Warunkiem zgłoszenia dziecka na dyżur wakacyjny jest terminowe złożenie przez rodzica wniosku w systemie elektronicznym – oddzielnie na każdy termin dyżuru, którym jest zainteresowany.</w:t>
      </w:r>
    </w:p>
    <w:p w14:paraId="7E79A5C3"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1380878D"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System elektroniczny automatycznie blokuje możliwość zapisania dzieci, które w bieżącym roku szkolnym nie uczęszczają do publicznych przedszkoli ani oddziałów przedszkolnych przy szkołach podstawowych prowadzonych przez Gminę Piaseczno.</w:t>
      </w:r>
    </w:p>
    <w:p w14:paraId="7985995A"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44DCEFE2"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Dzieci uczęszczające do przedszkola macierzystego przyjmowane są w pierwszej kolejności – system rekrutacyjny automatycznie przyznaje im maksymalną liczbę punktów.</w:t>
      </w:r>
    </w:p>
    <w:p w14:paraId="537AE6A2"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6AEB8BC3"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Dzieci spoza przedszkola macierzystego przyjmowane są wyłącznie na wolne miejsca, które pozostaną po zakwalifikowaniu dzieci z przedszkola macierzystego.</w:t>
      </w:r>
    </w:p>
    <w:p w14:paraId="6F6DF563"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695DAFCC"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Rodzice dzieci spoza przedszkola macierzystego mogą wybrać ograniczoną liczbę placówek, zgodnie z ustawieniami przyjętymi podczas konfiguracji systemu rekrutacyjnego.</w:t>
      </w:r>
    </w:p>
    <w:p w14:paraId="47306517"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4A2E1DF8"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W przypadku dzieci spoza przedszkola macierzystego o przyjęciu decyduje kolejność zgłoszeń.</w:t>
      </w:r>
    </w:p>
    <w:p w14:paraId="762D63FA"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66408C68" w14:textId="77777777" w:rsidR="00360079" w:rsidRDefault="00360079"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sidRPr="00360079">
        <w:rPr>
          <w:rFonts w:ascii="Times New Roman" w:eastAsia="Times New Roman" w:hAnsi="Times New Roman" w:cs="Times New Roman"/>
          <w:color w:val="222222"/>
          <w:kern w:val="0"/>
          <w:sz w:val="28"/>
          <w:szCs w:val="28"/>
          <w:lang w:eastAsia="pl-PL"/>
          <w14:ligatures w14:val="none"/>
        </w:rPr>
        <w:t>Po wypełnieniu wniosku w systemie elektronicznym wyświetlany jest numer potwierdzający jego złożenie. Rodzice nie drukują wniosku ani nie składają go w wersji papierowej.</w:t>
      </w:r>
    </w:p>
    <w:p w14:paraId="6A64367C" w14:textId="77777777" w:rsidR="00A164C2" w:rsidRDefault="00A164C2" w:rsidP="00A164C2">
      <w:pPr>
        <w:pStyle w:val="Akapitzlist"/>
        <w:rPr>
          <w:rFonts w:ascii="Times New Roman" w:eastAsia="Times New Roman" w:hAnsi="Times New Roman" w:cs="Times New Roman"/>
          <w:color w:val="222222"/>
          <w:kern w:val="0"/>
          <w:sz w:val="28"/>
          <w:szCs w:val="28"/>
          <w:lang w:eastAsia="pl-PL"/>
          <w14:ligatures w14:val="none"/>
        </w:rPr>
      </w:pPr>
    </w:p>
    <w:p w14:paraId="224273E1"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55575F66" w14:textId="218B1248" w:rsid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Listy kandydatów zakwalifikowanych będą dostępne dla rodziców po zalogowaniu się do systemu elektronicznego.</w:t>
      </w:r>
    </w:p>
    <w:p w14:paraId="23F115BD"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13F3C24B" w14:textId="72DBC2DB" w:rsid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Rodzice dzieci zakwalifikowanych, w ustalonym w harmonogramie terminie, dokonują wpłaty na wskazany w ofercie przedszkola rachunek bankowy. W tytule przelewu należy podać: a) rodzaj opłaty: wyżywienie – dyżur wakacyjny; b) imię i nazwisko dziecka zapisanego na dyżur wakacyjny.</w:t>
      </w:r>
    </w:p>
    <w:p w14:paraId="7291A9E6"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097182DA" w14:textId="1840FDC0" w:rsidR="00360079" w:rsidRP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Przez terminowe dokonanie opłaty rozumie się datę uznania opłaty za wyżywienie na rachunku bankowym przedszkola dyżurującego.</w:t>
      </w:r>
    </w:p>
    <w:p w14:paraId="62B5A33C" w14:textId="1053618E" w:rsid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W przypadku nieterminowego uiszczenia opłaty dziecko nie zostaje przyjęte na dyżur wakacyjny.</w:t>
      </w:r>
    </w:p>
    <w:p w14:paraId="419DC566"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6D441DEB" w14:textId="5CAAA4E8" w:rsid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Listy dzieci przyjętych na dyżur wakacyjny będą dostępne na tablicach ogłoszeń w przedszkolach pełniących dyżur.</w:t>
      </w:r>
    </w:p>
    <w:p w14:paraId="2884228B"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693CBA81" w14:textId="0AFBEB77" w:rsid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Dziecko zgłoszone po upływie wyznaczonych terminów może zostać przyjęte na dyżur wyłącznie w przypadku wolnych miejsc.</w:t>
      </w:r>
    </w:p>
    <w:p w14:paraId="5E4266CB"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59CBC3B3" w14:textId="7D84E814" w:rsid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Wysokość opłat: a) opłata za wyżywienie – iloczyn ilości dni dyżuru wakacyjnego w Przedszkolu nr 5 w Piasecznie i wysokości dziennej stawki żywieniowej, która wynosi 19 zł, (14 dni x 19zł = 266 zł.), płatne w wyznaczonym terminie przed dyżurem wakacyjnym na numer konta 68 1160 2202 0000 0003 8667 6403 Milenium Bank G&amp;P Małgorzata Kawala b) opłata za korzystanie z wychowania przedszkolnego – 1,44 zł za każdą rozpoczętą godzinę faktycznego pobytu w czasie przekraczającym czas przeznaczony na bezpłatne nauczanie, wychowanie i opiekę dla dzieci objętych wychowaniem przedszkolnym do końca roku szkolnego w roku kalendarzowym, w którym dzieci kończą 6 lat – kwota płatna w terminie 7 dni po zakończeniu dyżuru na rachunek bankowy wskazany przez przedszkole, wg faktycznej ilości godzin pobytu dziecka. Nieterminowa wpłata skutkuje naliczeniem należnych odsetek nr rachunku bankowego 70 1240 6351 1111 0010 9249 9600.</w:t>
      </w:r>
    </w:p>
    <w:p w14:paraId="12AA2C85" w14:textId="77777777" w:rsidR="00A164C2" w:rsidRPr="00360079" w:rsidRDefault="00A164C2" w:rsidP="00A164C2">
      <w:pPr>
        <w:shd w:val="clear" w:color="auto" w:fill="FFFFFF"/>
        <w:spacing w:after="0" w:line="240" w:lineRule="auto"/>
        <w:rPr>
          <w:rFonts w:ascii="Times New Roman" w:eastAsia="Times New Roman" w:hAnsi="Times New Roman" w:cs="Times New Roman"/>
          <w:color w:val="222222"/>
          <w:kern w:val="0"/>
          <w:sz w:val="28"/>
          <w:szCs w:val="28"/>
          <w:lang w:eastAsia="pl-PL"/>
          <w14:ligatures w14:val="none"/>
        </w:rPr>
      </w:pPr>
    </w:p>
    <w:p w14:paraId="791F85E3" w14:textId="6B9CCB12" w:rsidR="00360079" w:rsidRP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t xml:space="preserve"> </w:t>
      </w:r>
      <w:r w:rsidR="00360079" w:rsidRPr="00360079">
        <w:rPr>
          <w:rFonts w:ascii="Times New Roman" w:eastAsia="Times New Roman" w:hAnsi="Times New Roman" w:cs="Times New Roman"/>
          <w:color w:val="222222"/>
          <w:kern w:val="0"/>
          <w:sz w:val="28"/>
          <w:szCs w:val="28"/>
          <w:lang w:eastAsia="pl-PL"/>
          <w14:ligatures w14:val="none"/>
        </w:rPr>
        <w:t>Ewidencja godzin pobytu w przedszkolu w okresie dyżuru wakacyjnego prowadzona jest na listach dostępnych u nauczycieli.</w:t>
      </w:r>
    </w:p>
    <w:p w14:paraId="496049D4" w14:textId="57CE976A" w:rsidR="00360079" w:rsidRPr="00360079" w:rsidRDefault="00360079" w:rsidP="00360079">
      <w:pPr>
        <w:shd w:val="clear" w:color="auto" w:fill="FFFFFF"/>
        <w:spacing w:after="0" w:line="240" w:lineRule="auto"/>
        <w:ind w:left="1080"/>
        <w:rPr>
          <w:rFonts w:ascii="Times New Roman" w:eastAsia="Times New Roman" w:hAnsi="Times New Roman" w:cs="Times New Roman"/>
          <w:color w:val="222222"/>
          <w:kern w:val="0"/>
          <w:sz w:val="28"/>
          <w:szCs w:val="28"/>
          <w:lang w:eastAsia="pl-PL"/>
          <w14:ligatures w14:val="none"/>
        </w:rPr>
      </w:pPr>
    </w:p>
    <w:p w14:paraId="43D99448" w14:textId="79276C32" w:rsidR="00360079" w:rsidRPr="00360079" w:rsidRDefault="00A164C2" w:rsidP="00360079">
      <w:pPr>
        <w:numPr>
          <w:ilvl w:val="0"/>
          <w:numId w:val="1"/>
        </w:numPr>
        <w:shd w:val="clear" w:color="auto" w:fill="FFFFFF"/>
        <w:spacing w:after="0" w:line="240" w:lineRule="auto"/>
        <w:ind w:left="1440"/>
        <w:rPr>
          <w:rFonts w:ascii="Times New Roman" w:eastAsia="Times New Roman" w:hAnsi="Times New Roman" w:cs="Times New Roman"/>
          <w:color w:val="222222"/>
          <w:kern w:val="0"/>
          <w:sz w:val="28"/>
          <w:szCs w:val="28"/>
          <w:lang w:eastAsia="pl-PL"/>
          <w14:ligatures w14:val="none"/>
        </w:rPr>
      </w:pPr>
      <w:r>
        <w:rPr>
          <w:rFonts w:ascii="Times New Roman" w:eastAsia="Times New Roman" w:hAnsi="Times New Roman" w:cs="Times New Roman"/>
          <w:color w:val="222222"/>
          <w:kern w:val="0"/>
          <w:sz w:val="28"/>
          <w:szCs w:val="28"/>
          <w:lang w:eastAsia="pl-PL"/>
          <w14:ligatures w14:val="none"/>
        </w:rPr>
        <w:lastRenderedPageBreak/>
        <w:t xml:space="preserve"> </w:t>
      </w:r>
      <w:r w:rsidR="00360079" w:rsidRPr="00360079">
        <w:rPr>
          <w:rFonts w:ascii="Times New Roman" w:eastAsia="Times New Roman" w:hAnsi="Times New Roman" w:cs="Times New Roman"/>
          <w:color w:val="222222"/>
          <w:kern w:val="0"/>
          <w:sz w:val="28"/>
          <w:szCs w:val="28"/>
          <w:lang w:eastAsia="pl-PL"/>
          <w14:ligatures w14:val="none"/>
        </w:rPr>
        <w:t>W sprawach nieuregulowanych niniejszymi zasadami obowiązują postanowienia statutów oraz regulaminów przedszkoli publicznych prowadzonych przez Gminę Piaseczno.</w:t>
      </w:r>
    </w:p>
    <w:p w14:paraId="2FA7FA36" w14:textId="77777777" w:rsidR="00673B21" w:rsidRPr="00360079" w:rsidRDefault="00673B21">
      <w:pPr>
        <w:rPr>
          <w:rFonts w:ascii="Times New Roman" w:hAnsi="Times New Roman" w:cs="Times New Roman"/>
          <w:sz w:val="28"/>
          <w:szCs w:val="28"/>
        </w:rPr>
      </w:pPr>
    </w:p>
    <w:sectPr w:rsidR="00673B21" w:rsidRPr="00360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B6481"/>
    <w:multiLevelType w:val="multilevel"/>
    <w:tmpl w:val="EF0A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691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21"/>
    <w:rsid w:val="00203152"/>
    <w:rsid w:val="00360079"/>
    <w:rsid w:val="00673B21"/>
    <w:rsid w:val="00A164C2"/>
    <w:rsid w:val="00B64B24"/>
    <w:rsid w:val="00DF1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2449"/>
  <w15:chartTrackingRefBased/>
  <w15:docId w15:val="{47838B9A-6D60-46AA-858F-C2C45461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3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73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73B2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73B2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73B2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73B2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3B2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3B2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3B2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3B2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73B2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73B2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73B2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73B2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73B2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3B2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3B2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3B21"/>
    <w:rPr>
      <w:rFonts w:eastAsiaTheme="majorEastAsia" w:cstheme="majorBidi"/>
      <w:color w:val="272727" w:themeColor="text1" w:themeTint="D8"/>
    </w:rPr>
  </w:style>
  <w:style w:type="paragraph" w:styleId="Tytu">
    <w:name w:val="Title"/>
    <w:basedOn w:val="Normalny"/>
    <w:next w:val="Normalny"/>
    <w:link w:val="TytuZnak"/>
    <w:uiPriority w:val="10"/>
    <w:qFormat/>
    <w:rsid w:val="00673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3B2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3B2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3B2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3B21"/>
    <w:pPr>
      <w:spacing w:before="160"/>
      <w:jc w:val="center"/>
    </w:pPr>
    <w:rPr>
      <w:i/>
      <w:iCs/>
      <w:color w:val="404040" w:themeColor="text1" w:themeTint="BF"/>
    </w:rPr>
  </w:style>
  <w:style w:type="character" w:customStyle="1" w:styleId="CytatZnak">
    <w:name w:val="Cytat Znak"/>
    <w:basedOn w:val="Domylnaczcionkaakapitu"/>
    <w:link w:val="Cytat"/>
    <w:uiPriority w:val="29"/>
    <w:rsid w:val="00673B21"/>
    <w:rPr>
      <w:i/>
      <w:iCs/>
      <w:color w:val="404040" w:themeColor="text1" w:themeTint="BF"/>
    </w:rPr>
  </w:style>
  <w:style w:type="paragraph" w:styleId="Akapitzlist">
    <w:name w:val="List Paragraph"/>
    <w:basedOn w:val="Normalny"/>
    <w:uiPriority w:val="34"/>
    <w:qFormat/>
    <w:rsid w:val="00673B21"/>
    <w:pPr>
      <w:ind w:left="720"/>
      <w:contextualSpacing/>
    </w:pPr>
  </w:style>
  <w:style w:type="character" w:styleId="Wyrnienieintensywne">
    <w:name w:val="Intense Emphasis"/>
    <w:basedOn w:val="Domylnaczcionkaakapitu"/>
    <w:uiPriority w:val="21"/>
    <w:qFormat/>
    <w:rsid w:val="00673B21"/>
    <w:rPr>
      <w:i/>
      <w:iCs/>
      <w:color w:val="0F4761" w:themeColor="accent1" w:themeShade="BF"/>
    </w:rPr>
  </w:style>
  <w:style w:type="paragraph" w:styleId="Cytatintensywny">
    <w:name w:val="Intense Quote"/>
    <w:basedOn w:val="Normalny"/>
    <w:next w:val="Normalny"/>
    <w:link w:val="CytatintensywnyZnak"/>
    <w:uiPriority w:val="30"/>
    <w:qFormat/>
    <w:rsid w:val="00673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73B21"/>
    <w:rPr>
      <w:i/>
      <w:iCs/>
      <w:color w:val="0F4761" w:themeColor="accent1" w:themeShade="BF"/>
    </w:rPr>
  </w:style>
  <w:style w:type="character" w:styleId="Odwoanieintensywne">
    <w:name w:val="Intense Reference"/>
    <w:basedOn w:val="Domylnaczcionkaakapitu"/>
    <w:uiPriority w:val="32"/>
    <w:qFormat/>
    <w:rsid w:val="00673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434673">
      <w:bodyDiv w:val="1"/>
      <w:marLeft w:val="0"/>
      <w:marRight w:val="0"/>
      <w:marTop w:val="0"/>
      <w:marBottom w:val="0"/>
      <w:divBdr>
        <w:top w:val="none" w:sz="0" w:space="0" w:color="auto"/>
        <w:left w:val="none" w:sz="0" w:space="0" w:color="auto"/>
        <w:bottom w:val="none" w:sz="0" w:space="0" w:color="auto"/>
        <w:right w:val="none" w:sz="0" w:space="0" w:color="auto"/>
      </w:divBdr>
      <w:divsChild>
        <w:div w:id="111050834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wiata.piaseczn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3288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Tańska</dc:creator>
  <cp:keywords/>
  <dc:description/>
  <cp:lastModifiedBy>Anna Maksymiuk</cp:lastModifiedBy>
  <cp:revision>2</cp:revision>
  <dcterms:created xsi:type="dcterms:W3CDTF">2025-05-06T16:19:00Z</dcterms:created>
  <dcterms:modified xsi:type="dcterms:W3CDTF">2025-05-06T16:19:00Z</dcterms:modified>
</cp:coreProperties>
</file>